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доступа к PRELUSION API</w:t>
      </w:r>
    </w:p>
    <w:p>
      <w:r>
        <w:t>Шаблон для юридических лиц и индивидуальных предпринимателей. Редакция проекта от 30 октября 2026 года. До заполнения реквизитов и подписания сторонами документ не является заключённым индивидуальным договором и не заменяет действующую оферту.</w:t>
      </w:r>
    </w:p>
    <w:p>
      <w:r>
        <w:t>Договор № __________        г. __________        «___» __________ 20___ г.</w:t>
      </w:r>
    </w:p>
    <w:p>
      <w:r>
        <w:t>ИП Николаев Артём Константинович, ИНН 590773978542, ОГРНИП 319595800071514, далее Исполнитель, и ______________________________, ИНН __________, ОГРН / ОГРНИП __________, в лице ____________________, действующего на основании ____________________, далее Заказчик, согласовали следующее.</w:t>
      </w:r>
    </w:p>
    <w:p>
      <w:pPr>
        <w:pStyle w:val="Heading1"/>
        <w:spacing w:before="200" w:after="100"/>
      </w:pPr>
      <w:r>
        <w:t>1 Предмет и объём доступа</w:t>
      </w:r>
    </w:p>
    <w:p>
      <w:r>
        <w:t>1.1. Исполнитель предоставляет Заказчику удалённый доступ к программным функциям PRELUSION API: созданию ключей проектов, выбору доступных моделей, расчёту и подтверждению заданий, получению результатов и учёту расходов. В пределах принадлежащих Исполнителю прав предоставляется простая неисключительная лицензия на использование интерфейса API удалённым способом на срок договора.</w:t>
      </w:r>
    </w:p>
    <w:p>
      <w:r>
        <w:t>1.2. Модели искусственного интеллекта разрабатываются их правообладателями. Исполнитель не передаёт исключительные права на сторонние модели и не заявляет их разработку. Перечень доступных моделей, режимов и лимитов определяется действующим каталогом и состоянием допуска аккаунта. Наличие названия модели в справочной статье не подтверждает её доступность.</w:t>
      </w:r>
    </w:p>
    <w:p>
      <w:r>
        <w:t>1.3. Подключение к информационным системам Заказчика, разработка его приложений, индивидуальный SLA, выделенная инфраструктура и обработка персонального контента в заданиях не входят в стандартный доступ. Такие условия требуют отдельного письменного соглашения до начала соответствующей обработки или работ.</w:t>
      </w:r>
    </w:p>
    <w:p>
      <w:pPr>
        <w:pStyle w:val="Heading1"/>
        <w:spacing w:before="200" w:after="100"/>
      </w:pPr>
      <w:r>
        <w:t>2 Аккаунт и полномочия</w:t>
      </w:r>
    </w:p>
    <w:p>
      <w:r>
        <w:t>2.1. Заказчик указывает email аккаунта ____________________, назначает уполномоченных пользователей и обеспечивает сохранность API-ключей. Ключи хранятся в защищённой серверной конфигурации. При подозрении на раскрытие Заказчик отзывает ключ и сообщает в поддержку без передачи полного секрета.</w:t>
      </w:r>
    </w:p>
    <w:p>
      <w:r>
        <w:t>2.2. Действия с действующим ключом учитываются в соответствующем аккаунте. Заказчик устанавливает ограничения расходов в своём приложении и контролирует полномочия сотрудников. Это условие не освобождает Исполнителя от ответственности за нарушения, допущенные им самим.</w:t>
      </w:r>
    </w:p>
    <w:p>
      <w:r>
        <w:t>2.3. Баланс API отделён от баланса Студии PRELUSION. Доступ через MCP предоставляет инструменты API и сам по себе не заменяет подписку или основную модель стороннего AI-клиента.</w:t>
      </w:r>
    </w:p>
    <w:p>
      <w:r>
        <w:br w:type="page"/>
      </w:r>
    </w:p>
    <w:p>
      <w:pPr>
        <w:pStyle w:val="Heading1"/>
        <w:spacing w:before="200" w:after="100"/>
      </w:pPr>
      <w:r>
        <w:t>3 Расчёты и изменение цен</w:t>
      </w:r>
    </w:p>
    <w:p>
      <w:r>
        <w:t>3.1. Услуги оказываются на условиях предоплаты в рублях. Сумма первоначального пополнения и банковские реквизиты определяются счётом. Бонусные кредиты не являются денежными средствами Заказчика; применяются опубликованные условия их предоставления. Отсутствие отдельной строки о НДС не означает освобождение от налога: налоговый режим и сумма НДС, если он применяется, указываются в счёте и первичных документах.</w:t>
      </w:r>
    </w:p>
    <w:p>
      <w:r>
        <w:t>3.2. До запуска приложение Заказчика получает расчёт выбранной конфигурации. Подтверждение quoteId с параметром confirm и ключом идемпотентности означает согласие на запуск в пределах рассчитанного предела. Заказчик проверяет сумму и срок действия расчёта до подтверждения. Расчёт без подтверждения не запускает модель.</w:t>
      </w:r>
    </w:p>
    <w:p>
      <w:r>
        <w:t>3.3. Для текста рассчитывается максимальный резерв с учётом предела ответа; итоговое списание определяется подтверждённым фактическим использованием входных и выходных токенов по версии тарифа принятого задания. Для изображения или видео расчёт зависит от выбранных параметров. Неиспользованный резерв освобождается по результату сверки.</w:t>
      </w:r>
    </w:p>
    <w:p>
      <w:r>
        <w:t>3.4. Цены будущих заданий могут изменяться вследствие изменения цен внешних сервисов, курса валют, комиссий, налогов и иных факторов. При резком изменении расходов Исполнитель вправе немедленно приостановить новые запуски соответствующей конфигурации. Возобновление по новой цене требует нового расчёта и подтверждения. Цена уже принятого задания задним числом не повышается. Обещание уведомить за семь дней настоящим проектом не устанавливается.</w:t>
      </w:r>
    </w:p>
    <w:p>
      <w:r>
        <w:t>3.5. Бесплатная модель доступна только при подтверждённой нулевой цене и в пределах лимитов. При изменении или неподтверждённости нулевой цены бесплатный запуск останавливается. Автоматическая замена бесплатного запроса платным или платным запасным вариантом без нового подтверждения не допускается.</w:t>
      </w:r>
    </w:p>
    <w:p>
      <w:r>
        <w:t>3.6. При сетевом тайм-ауте Заказчик проверяет исходное задание и использует прежний ключ идемпотентности. Новый ключ может создать отдельное задание. Резерв, принятый запрос, завершённая генерация и окончательное списание являются разными событиями. Неопределённый результат подлежит сверке, а не обозначается успешным по факту HTTP 202.</w:t>
      </w:r>
    </w:p>
    <w:p>
      <w:pPr>
        <w:pStyle w:val="Heading1"/>
        <w:spacing w:before="200" w:after="100"/>
      </w:pPr>
      <w:r>
        <w:t>4 Подтверждение оказания услуг и документы</w:t>
      </w:r>
    </w:p>
    <w:p>
      <w:r>
        <w:t>4.1. Сведения о заданиях, статусах, резервах и списаниях доступны в кабинете. При расхождении Заказчик сообщает ID запроса, время и суть проблемы без API-ключей и запрещённого контента. Стороны сверяют журнал и расчёты; обращение не требует повторной оплаты.</w:t>
      </w:r>
    </w:p>
    <w:p>
      <w:r>
        <w:t>4.2. Отчётный период — календарный месяц, если иное не согласовано в приложении. Первичные документы оформляются в соответствии с законодательством и согласованным способом обмена. Наличие шаблона не означает подключения ЭДО, автоматического подписания актов или согласованного SLA.</w:t>
      </w:r>
    </w:p>
    <w:p>
      <w:r>
        <w:t>4.3. Возврат неиспользованной денежной предоплаты и спорные списания рассматриваются по обращению с учётом фактически оказанного доступа, выполненных заданий, сверок и обязательных норм закона. Бонусы не выплачиваются деньгами. Основания и расчёт возврата сообщаются Заказчику; штраф за сам факт обращения не устанавливается.</w:t>
      </w:r>
    </w:p>
    <w:p>
      <w:r>
        <w:br w:type="page"/>
      </w:r>
    </w:p>
    <w:p>
      <w:pPr>
        <w:pStyle w:val="Heading1"/>
        <w:spacing w:before="200" w:after="100"/>
      </w:pPr>
      <w:r>
        <w:t>5 Материалы и персональные данные</w:t>
      </w:r>
    </w:p>
    <w:p>
      <w:r>
        <w:t>5.1. Стандартный доступ не предусматривает оказания услуг по обработке персональных данных в содержимом заданий ИИ. Заказчик не передаёт в запросах, вложениях, ссылках, метаданных и истории персональные данные свои или третьих лиц, документы с такими данными, идентифицирующие фото и видео, голосовые записи реальных людей, биометрические и специальные категории данных, пароли и секреты.</w:t>
      </w:r>
    </w:p>
    <w:p>
      <w:r>
        <w:t>5.2. Заказчик обеспечивает законность целей и материалов, наличие необходимых прав и соблюдение запретов. Он понимает принцип работы больших языковых и иных ИИ-моделей, возможность привлечения внешних сервисов для исполнения задания и то, что удаление записи из кабинета не отзывает уже переданные внешнему сервису сведения. Исполнитель выполняет собственные обязательные обязанности по законодательству; их нельзя отменить оговоркой об ответственности Заказчика.</w:t>
      </w:r>
    </w:p>
    <w:p>
      <w:r>
        <w:t>5.3. Данные аккаунта, представителей, расчётов и обращений в поддержку отделены от содержимого заданий и обрабатываются для соответствующих целей по действующей политике PRELUSION. Договор не заменяет согласие субъекта, поручение обработки, необходимое уведомление или иное законное основание, если они требуются. Особый сценарий с персональными данными допускается только после отдельного согласования до передачи.</w:t>
      </w:r>
    </w:p>
    <w:p>
      <w:r>
        <w:t>5.4. Стандартный срок доступности файлов результата API — семь дней, если в задании не указан иной срок expiresAt. Заказчик своевременно сохраняет результаты. Срок хранения файла не определяет сроки бухгалтерского учёта или хранения необходимых сведений об операциях. Новые сроки хранения настоящим шаблоном не устанавливаются.</w:t>
      </w:r>
    </w:p>
    <w:p>
      <w:pPr>
        <w:pStyle w:val="Heading1"/>
        <w:spacing w:before="200" w:after="100"/>
      </w:pPr>
      <w:r>
        <w:t>6 Права на материалы и конфиденциальность</w:t>
      </w:r>
    </w:p>
    <w:p>
      <w:r>
        <w:t>6.1. Заказчик сохраняет права на законно предоставленные им материалы. Объём прав на сгенерированный результат определяется применимым законодательством и условиями соответствующих правообладателей. Исполнитель не гарантирует возникновение исключительного права, уникальность, отсутствие сходства с чужими произведениями или пригодность результата без проверки.</w:t>
      </w:r>
    </w:p>
    <w:p>
      <w:r>
        <w:t>6.2. Стороны защищают непубличную информацию, полученную при исполнении договора, и ограничивают доступ уполномоченными лицами. Передача допускается в объёме, необходимом для исполнения, на законном основании либо по обязательному требованию. Конфиденциальность не ограничивает предоставление законно необходимой информации об обработке данных.</w:t>
      </w:r>
    </w:p>
    <w:p>
      <w:pPr>
        <w:pStyle w:val="Heading1"/>
        <w:spacing w:before="200" w:after="100"/>
      </w:pPr>
      <w:r>
        <w:t>7 Качество и ответственность</w:t>
      </w:r>
    </w:p>
    <w:p>
      <w:r>
        <w:t>7.1. Результат ИИ может содержать фактические, логические или визуальные ошибки. Заказчик проверяет его перед публикацией и использованием. API не является самостоятельной профессиональной медицинской, юридической или финансовой консультацией. Доступность внешних моделей и скорость ответа могут меняться; гарантированный уровень сервиса действует только при отдельном соглашении.</w:t>
      </w:r>
    </w:p>
    <w:p>
      <w:r>
        <w:t>7.2. Стороны несут ответственность за свои нарушения по законодательству РФ. Настоящий проект не исключает ответственность за умышленное нарушение, обязательные обязанности по защите данных или иные случаи, в которых ограничение недопустимо. Само по себе привлечение внешнего сервиса не освобождает Исполнителя от установленных законом обязательств.</w:t>
      </w:r>
    </w:p>
    <w:p>
      <w:r>
        <w:br w:type="page"/>
      </w:r>
    </w:p>
    <w:p>
      <w:pPr>
        <w:pStyle w:val="Heading1"/>
        <w:spacing w:before="200" w:after="100"/>
      </w:pPr>
      <w:r>
        <w:t>8 Поддержка и срок договора</w:t>
      </w:r>
    </w:p>
    <w:p>
      <w:r>
        <w:t>8.1. Поддержка доступна через API-кабинет и указанные в действующих документах каналы. Если стороны отдельно не согласовали иное, применяется опубликованный регламент. Приоритет, срок восстановления и финансовая компенсация за простой не обещаются без отдельного SLA.</w:t>
      </w:r>
    </w:p>
    <w:p>
      <w:r>
        <w:t>8.2. Договор действует с даты подписания до прекращения сторонами в установленном законом порядке. Заказчик вправе прекратить новые запросы и обратиться о расторжении и сверке. Исполнитель вправе ограничить новые операции при нарушении правил, угрозе безопасности, отсутствии допуска или неподтверждённой цене; по возможности сообщается причина без раскрытия чужих секретов.</w:t>
      </w:r>
    </w:p>
    <w:p>
      <w:r>
        <w:t>8.3. Прекращение новых запусков не отменяет автоматически уже принятые задания и не скрывает их статус или расчёты. Неиспользованный денежный остаток и обязательства сторон определяются после сверки. Условия конфиденциальности и обязательного хранения документов действуют в соответствующие сроки после прекращения договора.</w:t>
      </w:r>
    </w:p>
    <w:p>
      <w:pPr>
        <w:pStyle w:val="Heading1"/>
        <w:spacing w:before="200" w:after="100"/>
      </w:pPr>
      <w:r>
        <w:t>9 Применимые документы и разногласия</w:t>
      </w:r>
    </w:p>
    <w:p>
      <w:r>
        <w:t>9.1. Стороны применяют право РФ. Обязательные нормы закона имеют приоритет. При подписании индивидуального договора стороны фиксируют редакции приложений и документов по ссылкам. Обновление сайта не изменяет задним числом согласованные условия уже принятых заданий.</w:t>
      </w:r>
    </w:p>
    <w:p>
      <w:r>
        <w:t>9.2. Постоянные адреса: оферта — https://prelusion.ru/legal/offer.html; условия API — https://api.prelusion.ru/legal/api.html; политика обработки данных — https://prelusion.ru/legal/privacy.html. До подписания стороны сверяют актуальные редакции и устраняют противоречия. Для обращения используются действующие каналы из этих документов.</w:t>
      </w:r>
    </w:p>
    <w:p>
      <w:r>
        <w:t>9.3. Претензия направляется по согласованному адресу для юридически значимых сообщений: Исполнитель ____________________; Заказчик ____________________. Срок ответа и подсудность определяются законом либо заполненным и согласованным условием приложения. Незаполненное поле не является обещанием отдельного срока.</w:t>
      </w:r>
    </w:p>
    <w:p>
      <w:pPr>
        <w:pStyle w:val="Heading1"/>
        <w:spacing w:before="200" w:after="100"/>
      </w:pPr>
      <w:r>
        <w:t>10 Реквизиты и подписи</w:t>
      </w:r>
    </w:p>
    <w:p>
      <w:r>
        <w:t>Исполнитель: ИП Николаев Артём Константинович</w:t>
        <w:br/>
        <w:t>ИНН 590773978542 • ОГРНИП 319595800071514</w:t>
        <w:br/>
        <w:t>Место нахождения: г. Пермь</w:t>
        <w:br/>
        <w:t>Банковские реквизиты и адрес для документов: согласно согласованному счёту или приложению.</w:t>
        <w:br/>
        <w:t>Подпись ____________________ / А. К. Николаев /</w:t>
      </w:r>
    </w:p>
    <w:p>
      <w:r>
        <w:t>Заказчик: ______________________________________________</w:t>
        <w:br/>
        <w:t>ИНН / КПП ______________________________________________</w:t>
        <w:br/>
        <w:t>ОГРН / ОГРНИП __________________________________________</w:t>
        <w:br/>
        <w:t>Юридический адрес ______________________________________</w:t>
        <w:br/>
        <w:t>Банк / БИК / расчётный счёт ______________________________</w:t>
        <w:br/>
        <w:t>Представитель и основание полномочий ____________________</w:t>
        <w:br/>
        <w:t>Email аккаунта API и адрес для документов _________________</w:t>
        <w:br/>
        <w:t>Подпись ____________________ / ____________________ /</w:t>
      </w:r>
    </w:p>
    <w:p>
      <w:r>
        <w:t>Параметры приложения к договору: аккаунт и проект; объём и лимит расходов; сумма и назначение предоплаты; допустимые режимы; согласованные редакции документов; способ обмена первичными документами. Заполняются сторонами до подписания. Новые обработчики данных, сроки хранения, ЭДО и SLA не включаются автоматически.</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Страница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5A5A"/>
        <w:sz w:val="18"/>
      </w:rPr>
      <w:t>PRELUSION API • Проект договора для согласования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